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5A7A82" w:rsidRDefault="00EE61BD">
      <w:pPr>
        <w:tabs>
          <w:tab w:val="left" w:pos="1140"/>
          <w:tab w:val="center" w:pos="4680"/>
        </w:tabs>
        <w:rPr>
          <w:b/>
        </w:rPr>
      </w:pPr>
      <w:r>
        <w:rPr>
          <w:b/>
        </w:rPr>
        <w:tab/>
      </w:r>
      <w:r>
        <w:rPr>
          <w:b/>
        </w:rPr>
        <w:tab/>
        <w:t>LC-PCC Task Group on Diachronic Works in Beta RDA Toolkit</w:t>
      </w:r>
    </w:p>
    <w:p w14:paraId="00000002" w14:textId="77777777" w:rsidR="005A7A82" w:rsidRDefault="00EE61BD">
      <w:pPr>
        <w:jc w:val="center"/>
        <w:rPr>
          <w:b/>
        </w:rPr>
      </w:pPr>
      <w:r>
        <w:rPr>
          <w:b/>
        </w:rPr>
        <w:t>Final Report</w:t>
      </w:r>
    </w:p>
    <w:p w14:paraId="00000003" w14:textId="3831A760" w:rsidR="005A7A82" w:rsidRDefault="00EE61BD">
      <w:pPr>
        <w:ind w:left="450" w:hanging="360"/>
        <w:jc w:val="center"/>
        <w:rPr>
          <w:b/>
        </w:rPr>
      </w:pPr>
      <w:r>
        <w:rPr>
          <w:b/>
        </w:rPr>
        <w:t>January 24</w:t>
      </w:r>
      <w:r>
        <w:rPr>
          <w:b/>
        </w:rPr>
        <w:t>, 2020</w:t>
      </w:r>
    </w:p>
    <w:p w14:paraId="00000004" w14:textId="77777777" w:rsidR="005A7A82" w:rsidRDefault="00EE61BD">
      <w:pPr>
        <w:numPr>
          <w:ilvl w:val="0"/>
          <w:numId w:val="6"/>
        </w:numPr>
        <w:ind w:left="450" w:hanging="270"/>
        <w:rPr>
          <w:b/>
        </w:rPr>
      </w:pPr>
      <w:r>
        <w:rPr>
          <w:b/>
        </w:rPr>
        <w:t>Introduction</w:t>
      </w:r>
    </w:p>
    <w:p w14:paraId="00000005" w14:textId="77777777" w:rsidR="005A7A82" w:rsidRDefault="00EE61BD">
      <w:r>
        <w:t>The task group’s final report consists of this narrative and the attached spreadsheet.</w:t>
      </w:r>
    </w:p>
    <w:p w14:paraId="00000006" w14:textId="77777777" w:rsidR="005A7A82" w:rsidRDefault="00EE61BD">
      <w:r>
        <w:t xml:space="preserve">The charge and membership of the task group are available from: </w:t>
      </w:r>
      <w:hyperlink r:id="rId7">
        <w:r>
          <w:rPr>
            <w:color w:val="1155CC"/>
            <w:u w:val="single"/>
          </w:rPr>
          <w:t>LC-PCC Task Group on Diachronic Works in Beta RDA Toolkit</w:t>
        </w:r>
      </w:hyperlink>
      <w:r>
        <w:t>.</w:t>
      </w:r>
    </w:p>
    <w:p w14:paraId="00000007" w14:textId="77777777" w:rsidR="005A7A82" w:rsidRDefault="00EE61BD">
      <w:r>
        <w:t>The group limited the scope of its work to guidance and options specific to diachronic works; the gro</w:t>
      </w:r>
      <w:r>
        <w:t xml:space="preserve">up did not consider general guidance or option choices that also apply to the cataloging of static works (monographs). </w:t>
      </w:r>
    </w:p>
    <w:p w14:paraId="00000008" w14:textId="77777777" w:rsidR="005A7A82" w:rsidRDefault="00EE61BD">
      <w:r>
        <w:t>Section 2 below describes the structure of the spreadsheet containing policy statement recommendations.  Due to the new and unfamiliar s</w:t>
      </w:r>
      <w:r>
        <w:t>tructure of the beta Toolkit, it was sometimes difficult for the group to determine where a needed policy statement should be located.  The locations that seemed most appropriate were selected, but the group recognizes that better locations may be identifi</w:t>
      </w:r>
      <w:r>
        <w:t>ed in the future.</w:t>
      </w:r>
    </w:p>
    <w:p w14:paraId="00000009" w14:textId="77777777" w:rsidR="005A7A82" w:rsidRDefault="00EE61BD">
      <w:r>
        <w:t>The recommendations in the spreadsheet primarily show how to document current PCC practice using the options and guidance given by the beta Toolkit. There are a limited number of situations, however, where the beta Toolkit, with its under</w:t>
      </w:r>
      <w:r>
        <w:t xml:space="preserve">lying LRM conceptual model, does not support current PCC practices. While the task group’s work has largely centered on maintaining current practice in the initial implementation, the group recognizes the potential opportunities for future improvements in </w:t>
      </w:r>
      <w:r>
        <w:t>cataloging practice given the beta Toolkit’s focus on elements and its provision of multiple options. The discussion in Appendix B exemplifies such a possible future improvement.</w:t>
      </w:r>
    </w:p>
    <w:p w14:paraId="0000000A" w14:textId="77777777" w:rsidR="005A7A82" w:rsidRDefault="00EE61BD">
      <w:r>
        <w:t>Cases where current practices are not supported, either because of the underl</w:t>
      </w:r>
      <w:r>
        <w:t>ying LRM model or apparent omission of guidance in the beta Toolkit, are described in Section 3 below, “Recommendations for PCC”.</w:t>
      </w:r>
    </w:p>
    <w:p w14:paraId="0000000B" w14:textId="77777777" w:rsidR="005A7A82" w:rsidRDefault="00EE61BD">
      <w:r>
        <w:t>Sections 3.1 and 3.2 include recommendations for changes to current PCC practice implied by the LRM model, specifically by its</w:t>
      </w:r>
      <w:r>
        <w:t xml:space="preserve"> cardinality restrictions on diachronic works (the so-called “WEM lock”). </w:t>
      </w:r>
    </w:p>
    <w:p w14:paraId="0000000C" w14:textId="77777777" w:rsidR="005A7A82" w:rsidRDefault="00EE61BD">
      <w:r>
        <w:t>Section 3.3 addresses implementation of the LRM model for multipart monographs with task group recommendations.</w:t>
      </w:r>
    </w:p>
    <w:p w14:paraId="0000000D" w14:textId="77777777" w:rsidR="005A7A82" w:rsidRDefault="00EE61BD">
      <w:r>
        <w:t>Section 3.4 addresses the “Basis for identification of the manifestat</w:t>
      </w:r>
      <w:r>
        <w:t>ion”, a concept addressed explicitly in the current RDA Toolkit but omitted from the beta Toolkit. The task group has questions about the omission and recommended actions for both the RSC and the PCC.</w:t>
      </w:r>
    </w:p>
    <w:p w14:paraId="0000000E" w14:textId="77777777" w:rsidR="005A7A82" w:rsidRDefault="00EE61BD">
      <w:r>
        <w:lastRenderedPageBreak/>
        <w:t>Section 4 contains recommendations on two topics that r</w:t>
      </w:r>
      <w:r>
        <w:t>equire further investigation and/or clarification from the RSC or NARDAC.</w:t>
      </w:r>
    </w:p>
    <w:p w14:paraId="0000000F" w14:textId="77777777" w:rsidR="005A7A82" w:rsidRDefault="00EE61BD">
      <w:r>
        <w:t>The task group urges the RSC and PoCo to resolve the issues in sections 3 and 4 before the beta Toolkit is launched as the new RDA Toolkit and before PCC implements the new RDA Toolk</w:t>
      </w:r>
      <w:r>
        <w:t>it. Accepting some of the task group recommendations will have a wide impact on the PCC community; therefore the task group advises PoCo to seek broad input from PCC members.   Members of the task group are willing to assist in further work needed to resol</w:t>
      </w:r>
      <w:r>
        <w:t>ve these issues if necessary.</w:t>
      </w:r>
    </w:p>
    <w:p w14:paraId="00000010" w14:textId="77777777" w:rsidR="005A7A82" w:rsidRDefault="00EE61BD">
      <w:r>
        <w:t>Two appendices contain discussion briefs prepared by individual members of the group. Appendix A gives background on the multipart monograph recommendations made in section 3.3. Appendix B presents a discussion of possible fut</w:t>
      </w:r>
      <w:r>
        <w:t>ure approaches for handling changes in title proper for diachronic works.</w:t>
      </w:r>
    </w:p>
    <w:p w14:paraId="00000011" w14:textId="77777777" w:rsidR="005A7A82" w:rsidRDefault="005A7A82"/>
    <w:p w14:paraId="00000012" w14:textId="77777777" w:rsidR="005A7A82" w:rsidRDefault="00EE61BD">
      <w:pPr>
        <w:numPr>
          <w:ilvl w:val="0"/>
          <w:numId w:val="6"/>
        </w:numPr>
        <w:rPr>
          <w:b/>
        </w:rPr>
      </w:pPr>
      <w:r>
        <w:rPr>
          <w:b/>
        </w:rPr>
        <w:t>Structure of the Spreadsheet</w:t>
      </w:r>
    </w:p>
    <w:p w14:paraId="00000013" w14:textId="77777777" w:rsidR="005A7A82" w:rsidRDefault="00EE61BD">
      <w:pPr>
        <w:numPr>
          <w:ilvl w:val="1"/>
          <w:numId w:val="6"/>
        </w:numPr>
        <w:spacing w:after="0"/>
      </w:pPr>
      <w:r>
        <w:rPr>
          <w:b/>
        </w:rPr>
        <w:t>Citations:</w:t>
      </w:r>
      <w:r>
        <w:t xml:space="preserve"> Citation numbers are provided for most of the references, but not all are specific to the text to which our recommendation applies.  In some </w:t>
      </w:r>
      <w:r>
        <w:t>sections of the Toolkit, citation numbers are not yet available.</w:t>
      </w:r>
    </w:p>
    <w:p w14:paraId="00000014" w14:textId="77777777" w:rsidR="005A7A82" w:rsidRDefault="00EE61BD">
      <w:pPr>
        <w:numPr>
          <w:ilvl w:val="1"/>
          <w:numId w:val="6"/>
        </w:numPr>
        <w:spacing w:after="0"/>
      </w:pPr>
      <w:r>
        <w:rPr>
          <w:b/>
        </w:rPr>
        <w:t>Section (Breadcrumb):</w:t>
      </w:r>
      <w:r>
        <w:t xml:space="preserve"> This column allows options on the same page of the Toolkit to be grouped together in the spreadsheet. The breadcrumbs included are valid for the September 5, 2019 releas</w:t>
      </w:r>
      <w:r>
        <w:t xml:space="preserve">e of the Toolkit.  Options in the beta Toolkit are not numbered; in some cases the options in the spreadsheet appear in the order of the beta Toolkit, in other cases they do not.  To assist with identification, some entries in the spreadsheet indicate the </w:t>
      </w:r>
      <w:r>
        <w:t>current position of the option, for example “Guidance &gt; Resource description &gt; Describing a work &gt; Describing a distinct work &gt; 14th condition &gt; 1st option.”</w:t>
      </w:r>
    </w:p>
    <w:p w14:paraId="00000015" w14:textId="77777777" w:rsidR="005A7A82" w:rsidRDefault="00EE61BD">
      <w:pPr>
        <w:numPr>
          <w:ilvl w:val="1"/>
          <w:numId w:val="6"/>
        </w:numPr>
        <w:spacing w:after="0"/>
      </w:pPr>
      <w:r>
        <w:rPr>
          <w:b/>
        </w:rPr>
        <w:t>Option text:</w:t>
      </w:r>
      <w:r>
        <w:t xml:space="preserve"> This column is included to clarify which option or section of text the policy stateme</w:t>
      </w:r>
      <w:r>
        <w:t>nt should apply to (since not all have specific citation numbers). In some instances, available URLs from the beta Toolkit have been cited in the spreadsheet for a more specific link.</w:t>
      </w:r>
    </w:p>
    <w:p w14:paraId="00000016" w14:textId="77777777" w:rsidR="005A7A82" w:rsidRDefault="00EE61BD">
      <w:pPr>
        <w:numPr>
          <w:ilvl w:val="1"/>
          <w:numId w:val="6"/>
        </w:numPr>
        <w:spacing w:after="0"/>
      </w:pPr>
      <w:r>
        <w:rPr>
          <w:b/>
        </w:rPr>
        <w:t>Recommended decision:</w:t>
      </w:r>
      <w:r>
        <w:t xml:space="preserve"> For each entry in the spreadsheet, the task group </w:t>
      </w:r>
      <w:r>
        <w:t>has recorded its recommendation using the terms “apply” and “do not apply.”  Some of the options marked with “apply” correspond to current RDA instructions that are considered “core”; others correspond to current instructions that are not core, i.e. option</w:t>
      </w:r>
      <w:r>
        <w:t xml:space="preserve">al.  The beta RDA Toolkit does not include the term or concept “core” as the current RDA toolkit does. Many of the current policy statements specify “CORE ELEMENT FOR LC/PCC” which is in many cases conditional, e.g. statement of responsibility is core for </w:t>
      </w:r>
      <w:r>
        <w:t>monographs but core for serials only if it clarifies the description or access point. For a given option the decision may be “apply” under certain conditions and “do not apply” under other conditions.  In these cases, the task group has repeated the elemen</w:t>
      </w:r>
      <w:r>
        <w:t xml:space="preserve">t, provided the “apply” or “do not apply” decision, and in the comments section, explained the different contexts in which to apply the decision or not.  It is expected that the policy statements will describe the circumstances under which one decision is </w:t>
      </w:r>
      <w:r>
        <w:t>made versus another (this could be expressed in a policy statement as “apply if…”). Some options could also be applied in other contexts to non-diachronic works; in those cases, usage for diachronic works e.g. “apply for serial numbering,” has been specifi</w:t>
      </w:r>
      <w:r>
        <w:t>ed since the recommendation is limited to the context of diachronic works.</w:t>
      </w:r>
    </w:p>
    <w:p w14:paraId="00000017" w14:textId="77777777" w:rsidR="005A7A82" w:rsidRDefault="00EE61BD">
      <w:pPr>
        <w:numPr>
          <w:ilvl w:val="1"/>
          <w:numId w:val="6"/>
        </w:numPr>
      </w:pPr>
      <w:r>
        <w:rPr>
          <w:b/>
        </w:rPr>
        <w:t>Comments on decision:</w:t>
      </w:r>
      <w:r>
        <w:t xml:space="preserve"> This column contains specific recommendations on wording or other issues to the group preparing LC-PCC policy statements (see: </w:t>
      </w:r>
      <w:hyperlink r:id="rId8">
        <w:r>
          <w:rPr>
            <w:color w:val="1155CC"/>
            <w:u w:val="single"/>
          </w:rPr>
          <w:t>LC-PCC Policy Statements and Workflow Documents in the beta RDA Toolkit: PoCo Decisions</w:t>
        </w:r>
      </w:hyperlink>
      <w:r>
        <w:t xml:space="preserve"> for further information).  References to current instructions such as “Add PS for 2.2.2” indicates a recom</w:t>
      </w:r>
      <w:r>
        <w:t>mendation that guidance corresponding to that current PS should be added at this point in the beta Toolkit.</w:t>
      </w:r>
    </w:p>
    <w:p w14:paraId="00000018" w14:textId="77777777" w:rsidR="005A7A82" w:rsidRDefault="00EE61BD">
      <w:pPr>
        <w:numPr>
          <w:ilvl w:val="0"/>
          <w:numId w:val="6"/>
        </w:numPr>
        <w:rPr>
          <w:b/>
        </w:rPr>
      </w:pPr>
      <w:r>
        <w:rPr>
          <w:b/>
        </w:rPr>
        <w:t>Recommendations for PCC</w:t>
      </w:r>
    </w:p>
    <w:p w14:paraId="00000019" w14:textId="77777777" w:rsidR="005A7A82" w:rsidRDefault="005A7A82">
      <w:pPr>
        <w:spacing w:after="0" w:line="240" w:lineRule="auto"/>
      </w:pPr>
    </w:p>
    <w:p w14:paraId="0000001A" w14:textId="77777777" w:rsidR="005A7A82" w:rsidRDefault="00EE61BD">
      <w:pPr>
        <w:numPr>
          <w:ilvl w:val="1"/>
          <w:numId w:val="6"/>
        </w:numPr>
        <w:pBdr>
          <w:top w:val="nil"/>
          <w:left w:val="nil"/>
          <w:bottom w:val="nil"/>
          <w:right w:val="nil"/>
          <w:between w:val="nil"/>
        </w:pBdr>
        <w:spacing w:after="0" w:line="240" w:lineRule="auto"/>
      </w:pPr>
      <w:r>
        <w:rPr>
          <w:b/>
          <w:color w:val="000000"/>
        </w:rPr>
        <w:t xml:space="preserve">Treatment of translations and language expressions for diachronic works in the </w:t>
      </w:r>
      <w:r>
        <w:rPr>
          <w:b/>
        </w:rPr>
        <w:t>b</w:t>
      </w:r>
      <w:r>
        <w:rPr>
          <w:b/>
          <w:color w:val="000000"/>
        </w:rPr>
        <w:t>eta RDA Toolki</w:t>
      </w:r>
      <w:r>
        <w:rPr>
          <w:b/>
        </w:rPr>
        <w:t>t</w:t>
      </w:r>
    </w:p>
    <w:p w14:paraId="0000001B" w14:textId="77777777" w:rsidR="005A7A82" w:rsidRDefault="005A7A82">
      <w:pPr>
        <w:pBdr>
          <w:top w:val="nil"/>
          <w:left w:val="nil"/>
          <w:bottom w:val="nil"/>
          <w:right w:val="nil"/>
          <w:between w:val="nil"/>
        </w:pBdr>
        <w:spacing w:after="0" w:line="240" w:lineRule="auto"/>
        <w:ind w:left="1440"/>
        <w:rPr>
          <w:b/>
        </w:rPr>
      </w:pPr>
    </w:p>
    <w:p w14:paraId="0000001C" w14:textId="77777777" w:rsidR="005A7A82" w:rsidRDefault="00EE61BD">
      <w:pPr>
        <w:spacing w:line="240" w:lineRule="auto"/>
        <w:rPr>
          <w:color w:val="000000"/>
        </w:rPr>
      </w:pPr>
      <w:r>
        <w:rPr>
          <w:color w:val="000000"/>
        </w:rPr>
        <w:t xml:space="preserve">Because of the cardinality of the WEM lock in the LRM model, each serial is a work in its own right. Therefore, the preferred title of a language expression (translation or language edition) is based on the title proper of the language expression, not the </w:t>
      </w:r>
      <w:r>
        <w:rPr>
          <w:color w:val="000000"/>
        </w:rPr>
        <w:t xml:space="preserve">title of the original. This conclusion is drawn from the option for recording the preferred title in the RDA </w:t>
      </w:r>
      <w:r>
        <w:t>b</w:t>
      </w:r>
      <w:r>
        <w:rPr>
          <w:color w:val="000000"/>
        </w:rPr>
        <w:t>eta Toolkit, 86.98.37.87: “Record a value of Manifestation: title proper of a manifestation that embodies a work.” </w:t>
      </w:r>
    </w:p>
    <w:p w14:paraId="0000001D" w14:textId="77777777" w:rsidR="005A7A82" w:rsidRDefault="00EE61BD">
      <w:pPr>
        <w:spacing w:line="240" w:lineRule="auto"/>
        <w:rPr>
          <w:color w:val="000000"/>
        </w:rPr>
      </w:pPr>
      <w:r>
        <w:rPr>
          <w:color w:val="000000"/>
        </w:rPr>
        <w:t>Examples of possible change in</w:t>
      </w:r>
      <w:r>
        <w:rPr>
          <w:color w:val="000000"/>
        </w:rPr>
        <w:t xml:space="preserve"> practice for translations and language editions:</w:t>
      </w:r>
    </w:p>
    <w:p w14:paraId="0000001E" w14:textId="77777777" w:rsidR="005A7A82" w:rsidRDefault="00EE61BD">
      <w:pPr>
        <w:spacing w:line="240" w:lineRule="auto"/>
        <w:rPr>
          <w:i/>
          <w:color w:val="000000"/>
        </w:rPr>
      </w:pPr>
      <w:r>
        <w:rPr>
          <w:color w:val="000000"/>
        </w:rPr>
        <w:t xml:space="preserve">Current Toolkit: </w:t>
      </w:r>
      <w:r>
        <w:rPr>
          <w:b/>
          <w:color w:val="000000"/>
        </w:rPr>
        <w:t>Matematicheskiĭ sbornik.</w:t>
      </w:r>
      <w:r>
        <w:rPr>
          <w:color w:val="000000"/>
        </w:rPr>
        <w:t xml:space="preserve"> </w:t>
      </w:r>
      <w:r>
        <w:rPr>
          <w:i/>
          <w:color w:val="000000"/>
        </w:rPr>
        <w:t>English</w:t>
      </w:r>
    </w:p>
    <w:p w14:paraId="0000001F" w14:textId="77777777" w:rsidR="005A7A82" w:rsidRDefault="00EE61BD">
      <w:pPr>
        <w:spacing w:line="240" w:lineRule="auto"/>
        <w:rPr>
          <w:color w:val="000000"/>
        </w:rPr>
      </w:pPr>
      <w:r>
        <w:rPr>
          <w:color w:val="000000"/>
        </w:rPr>
        <w:t xml:space="preserve">Beta Toolkit: </w:t>
      </w:r>
      <w:r>
        <w:rPr>
          <w:b/>
          <w:color w:val="000000"/>
        </w:rPr>
        <w:t>Sbornik. Mathematics</w:t>
      </w:r>
      <w:r>
        <w:rPr>
          <w:color w:val="000000"/>
        </w:rPr>
        <w:t xml:space="preserve"> [entity change from Expression to Work; preferred title change from Manifestation: </w:t>
      </w:r>
      <w:r>
        <w:rPr>
          <w:i/>
          <w:color w:val="000000"/>
        </w:rPr>
        <w:t xml:space="preserve">title proper </w:t>
      </w:r>
      <w:r>
        <w:rPr>
          <w:color w:val="000000"/>
        </w:rPr>
        <w:t>of original to Manifestation:</w:t>
      </w:r>
      <w:r>
        <w:rPr>
          <w:i/>
          <w:color w:val="000000"/>
        </w:rPr>
        <w:t xml:space="preserve"> title proper</w:t>
      </w:r>
      <w:r>
        <w:rPr>
          <w:color w:val="000000"/>
        </w:rPr>
        <w:t xml:space="preserve"> of translation]</w:t>
      </w:r>
    </w:p>
    <w:p w14:paraId="00000020" w14:textId="77777777" w:rsidR="005A7A82" w:rsidRDefault="00EE61BD">
      <w:pPr>
        <w:spacing w:line="240" w:lineRule="auto"/>
        <w:rPr>
          <w:i/>
          <w:color w:val="000000"/>
        </w:rPr>
      </w:pPr>
      <w:r>
        <w:rPr>
          <w:color w:val="000000"/>
        </w:rPr>
        <w:t xml:space="preserve">Current Toolkit: </w:t>
      </w:r>
      <w:r>
        <w:rPr>
          <w:b/>
          <w:color w:val="000000"/>
        </w:rPr>
        <w:t>France-Canada.</w:t>
      </w:r>
      <w:r>
        <w:rPr>
          <w:color w:val="000000"/>
        </w:rPr>
        <w:t xml:space="preserve"> </w:t>
      </w:r>
      <w:r>
        <w:rPr>
          <w:i/>
          <w:color w:val="000000"/>
        </w:rPr>
        <w:t>English</w:t>
      </w:r>
    </w:p>
    <w:p w14:paraId="00000021" w14:textId="77777777" w:rsidR="005A7A82" w:rsidRDefault="00EE61BD">
      <w:pPr>
        <w:spacing w:line="240" w:lineRule="auto"/>
      </w:pPr>
      <w:r>
        <w:rPr>
          <w:color w:val="000000"/>
        </w:rPr>
        <w:t xml:space="preserve">Beta Toolkit: </w:t>
      </w:r>
      <w:r>
        <w:rPr>
          <w:b/>
        </w:rPr>
        <w:t>France-Canada</w:t>
      </w:r>
      <w:r>
        <w:rPr>
          <w:b/>
          <w:color w:val="000000"/>
        </w:rPr>
        <w:t xml:space="preserve"> (English)</w:t>
      </w:r>
      <w:r>
        <w:rPr>
          <w:color w:val="000000"/>
        </w:rPr>
        <w:t xml:space="preserve"> [entity change from Expression to Work; element change from Expression: </w:t>
      </w:r>
      <w:r>
        <w:rPr>
          <w:i/>
          <w:color w:val="000000"/>
        </w:rPr>
        <w:t>language</w:t>
      </w:r>
      <w:r>
        <w:rPr>
          <w:color w:val="000000"/>
        </w:rPr>
        <w:t xml:space="preserve"> to Work: </w:t>
      </w:r>
      <w:r>
        <w:rPr>
          <w:i/>
          <w:color w:val="000000"/>
        </w:rPr>
        <w:t>language of representative ex</w:t>
      </w:r>
      <w:r>
        <w:rPr>
          <w:i/>
          <w:color w:val="000000"/>
        </w:rPr>
        <w:t>pression</w:t>
      </w:r>
      <w:r>
        <w:rPr>
          <w:color w:val="000000"/>
        </w:rPr>
        <w:t>]</w:t>
      </w:r>
    </w:p>
    <w:p w14:paraId="00000022" w14:textId="77777777" w:rsidR="005A7A82" w:rsidRDefault="00EE61BD">
      <w:pPr>
        <w:spacing w:line="240" w:lineRule="auto"/>
      </w:pPr>
      <w:r>
        <w:rPr>
          <w:color w:val="000000"/>
        </w:rPr>
        <w:t>Some issues for PCC to consider: </w:t>
      </w:r>
    </w:p>
    <w:p w14:paraId="00000023" w14:textId="77777777" w:rsidR="005A7A82" w:rsidRDefault="00EE61BD">
      <w:pPr>
        <w:spacing w:after="0" w:line="240" w:lineRule="auto"/>
      </w:pPr>
      <w:r>
        <w:rPr>
          <w:color w:val="000000"/>
        </w:rPr>
        <w:t>It appears that basing the authorized access point on the title of the translation or language edition instead of the original expression applies only to aggregate</w:t>
      </w:r>
      <w:r>
        <w:t xml:space="preserve"> works</w:t>
      </w:r>
      <w:r>
        <w:rPr>
          <w:color w:val="000000"/>
        </w:rPr>
        <w:t xml:space="preserve"> (because of the WE lock) and diachronic wo</w:t>
      </w:r>
      <w:r>
        <w:rPr>
          <w:color w:val="000000"/>
        </w:rPr>
        <w:t>rks (because of the WEM lock.). Authorized access points for language expressions of other resources such as static monographs are still based on the preferred title of the original.</w:t>
      </w:r>
    </w:p>
    <w:p w14:paraId="00000024" w14:textId="77777777" w:rsidR="005A7A82" w:rsidRDefault="005A7A82">
      <w:pPr>
        <w:spacing w:after="0" w:line="240" w:lineRule="auto"/>
      </w:pPr>
    </w:p>
    <w:p w14:paraId="00000025" w14:textId="77777777" w:rsidR="005A7A82" w:rsidRDefault="00EE61BD">
      <w:pPr>
        <w:spacing w:line="240" w:lineRule="auto"/>
      </w:pPr>
      <w:r>
        <w:rPr>
          <w:color w:val="000000"/>
        </w:rPr>
        <w:t xml:space="preserve">The group favors the approach for serials (see </w:t>
      </w:r>
      <w:r>
        <w:t>3.3 for recommendations f</w:t>
      </w:r>
      <w:r>
        <w:t>or multipart monographs)</w:t>
      </w:r>
      <w:r>
        <w:rPr>
          <w:color w:val="000000"/>
        </w:rPr>
        <w:t xml:space="preserve">, as it resolves some </w:t>
      </w:r>
      <w:r>
        <w:t>long standing</w:t>
      </w:r>
      <w:r>
        <w:rPr>
          <w:color w:val="000000"/>
        </w:rPr>
        <w:t xml:space="preserve"> issues with title changes involving translations (i.e. since the original is the basis of the authorized access point </w:t>
      </w:r>
      <w:r>
        <w:t>of the translation, a</w:t>
      </w:r>
      <w:r>
        <w:rPr>
          <w:color w:val="000000"/>
        </w:rPr>
        <w:t xml:space="preserve"> </w:t>
      </w:r>
      <w:r>
        <w:t>new record</w:t>
      </w:r>
      <w:r>
        <w:rPr>
          <w:color w:val="000000"/>
        </w:rPr>
        <w:t xml:space="preserve"> is created every time the original title chan</w:t>
      </w:r>
      <w:r>
        <w:rPr>
          <w:color w:val="000000"/>
        </w:rPr>
        <w:t xml:space="preserve">ges). The new approach also aligns with ISSN assignment policies for title changes in such cases. A new ISSN is only assigned when there is a major change in the title of the translation or language edition. The change will resolve </w:t>
      </w:r>
      <w:r>
        <w:t>long standing</w:t>
      </w:r>
      <w:r>
        <w:rPr>
          <w:color w:val="000000"/>
        </w:rPr>
        <w:t xml:space="preserve"> </w:t>
      </w:r>
      <w:r>
        <w:t>issues wit</w:t>
      </w:r>
      <w:r>
        <w:t>h end user displays of related translations and language editions in library catalogs.</w:t>
      </w:r>
    </w:p>
    <w:p w14:paraId="00000026" w14:textId="77777777" w:rsidR="005A7A82" w:rsidRDefault="00EE61BD">
      <w:pPr>
        <w:spacing w:line="240" w:lineRule="auto"/>
      </w:pPr>
      <w:r>
        <w:rPr>
          <w:b/>
        </w:rPr>
        <w:t>Recommendation</w:t>
      </w:r>
      <w:r>
        <w:t xml:space="preserve">: The task group asks PoCo to consider implementation of this change in practice after careful consideration of the full impact. </w:t>
      </w:r>
    </w:p>
    <w:p w14:paraId="00000027" w14:textId="77777777" w:rsidR="005A7A82" w:rsidRDefault="005A7A82">
      <w:pPr>
        <w:spacing w:after="0" w:line="240" w:lineRule="auto"/>
        <w:ind w:left="720"/>
        <w:rPr>
          <w:b/>
        </w:rPr>
      </w:pPr>
    </w:p>
    <w:p w14:paraId="00000028" w14:textId="77777777" w:rsidR="005A7A82" w:rsidRDefault="00EE61BD">
      <w:pPr>
        <w:numPr>
          <w:ilvl w:val="1"/>
          <w:numId w:val="6"/>
        </w:numPr>
        <w:spacing w:line="240" w:lineRule="auto"/>
      </w:pPr>
      <w:r>
        <w:rPr>
          <w:b/>
        </w:rPr>
        <w:t>Series published in simultaneous formats and the number of PCC authority records needed:</w:t>
      </w:r>
    </w:p>
    <w:p w14:paraId="00000029" w14:textId="77777777" w:rsidR="005A7A82" w:rsidRDefault="005A7A82">
      <w:pPr>
        <w:spacing w:after="0" w:line="240" w:lineRule="auto"/>
      </w:pPr>
    </w:p>
    <w:p w14:paraId="0000002A" w14:textId="77777777" w:rsidR="005A7A82" w:rsidRDefault="00EE61BD">
      <w:pPr>
        <w:spacing w:after="0" w:line="240" w:lineRule="auto"/>
      </w:pPr>
      <w:r>
        <w:t xml:space="preserve">The current LC-PCC PS 25.I “One or several series authorized access points,” addresses the situation where “all parts of the series are each published in two or more </w:t>
      </w:r>
      <w:r>
        <w:t>media or carrier types”.  According to these instructions, only one PCC series authority record is created when the series is published simultaneously in separate formats such as print and online. </w:t>
      </w:r>
    </w:p>
    <w:p w14:paraId="0000002B" w14:textId="77777777" w:rsidR="005A7A82" w:rsidRDefault="005A7A82">
      <w:pPr>
        <w:spacing w:after="0" w:line="240" w:lineRule="auto"/>
      </w:pPr>
    </w:p>
    <w:p w14:paraId="0000002C" w14:textId="77777777" w:rsidR="005A7A82" w:rsidRDefault="00EE61BD">
      <w:pPr>
        <w:spacing w:after="0" w:line="240" w:lineRule="auto"/>
      </w:pPr>
      <w:r>
        <w:t>In the beta RDA Toolkit, modeled on LRM, the simultaneous</w:t>
      </w:r>
      <w:r>
        <w:t xml:space="preserve"> formats of a series, such as online and print are separate diachronic works. Two separate series authority records appear to be appropriate under this new model.</w:t>
      </w:r>
    </w:p>
    <w:p w14:paraId="0000002D" w14:textId="77777777" w:rsidR="005A7A82" w:rsidRDefault="005A7A82">
      <w:pPr>
        <w:spacing w:after="0" w:line="240" w:lineRule="auto"/>
      </w:pPr>
    </w:p>
    <w:p w14:paraId="0000002E" w14:textId="77777777" w:rsidR="005A7A82" w:rsidRDefault="00EE61BD">
      <w:pPr>
        <w:spacing w:after="0" w:line="240" w:lineRule="auto"/>
      </w:pPr>
      <w:r>
        <w:t>Following the new model therefore represents a change in PCC policy, reverting to an earlier</w:t>
      </w:r>
      <w:r>
        <w:t xml:space="preserve"> PCC policy discontinued not long ago.</w:t>
      </w:r>
    </w:p>
    <w:p w14:paraId="0000002F" w14:textId="77777777" w:rsidR="005A7A82" w:rsidRDefault="005A7A82">
      <w:pPr>
        <w:spacing w:after="0" w:line="240" w:lineRule="auto"/>
      </w:pPr>
    </w:p>
    <w:p w14:paraId="00000030" w14:textId="77777777" w:rsidR="005A7A82" w:rsidRDefault="00EE61BD">
      <w:pPr>
        <w:spacing w:after="0" w:line="240" w:lineRule="auto"/>
      </w:pPr>
      <w:r>
        <w:t>Our task group is in favor of creating separate authority records for the separate formats for monographic series (see 3.3 for recommendations for series that are multipart monographs), as it is in line with ISSN ass</w:t>
      </w:r>
      <w:r>
        <w:t>ignment practices where separate ISSN are assigned for diachronic works in separate formats.</w:t>
      </w:r>
    </w:p>
    <w:p w14:paraId="00000031" w14:textId="77777777" w:rsidR="005A7A82" w:rsidRDefault="005A7A82">
      <w:pPr>
        <w:spacing w:after="0" w:line="240" w:lineRule="auto"/>
      </w:pPr>
    </w:p>
    <w:p w14:paraId="00000032" w14:textId="77777777" w:rsidR="005A7A82" w:rsidRDefault="00EE61BD">
      <w:pPr>
        <w:spacing w:after="0" w:line="240" w:lineRule="auto"/>
      </w:pPr>
      <w:r>
        <w:rPr>
          <w:b/>
        </w:rPr>
        <w:t xml:space="preserve">Recommendation: </w:t>
      </w:r>
      <w:r>
        <w:t>The group asks PoCo to consult the joint SCT/SCS Series Task Group</w:t>
      </w:r>
    </w:p>
    <w:p w14:paraId="00000033" w14:textId="77777777" w:rsidR="005A7A82" w:rsidRDefault="00EE61BD">
      <w:pPr>
        <w:spacing w:after="0" w:line="240" w:lineRule="auto"/>
      </w:pPr>
      <w:r>
        <w:t xml:space="preserve">for their reaction and recommendations before formulating a policy decision on </w:t>
      </w:r>
      <w:r>
        <w:t>the matter.</w:t>
      </w:r>
    </w:p>
    <w:p w14:paraId="00000034" w14:textId="77777777" w:rsidR="005A7A82" w:rsidRDefault="005A7A82">
      <w:pPr>
        <w:spacing w:after="0" w:line="240" w:lineRule="auto"/>
      </w:pPr>
    </w:p>
    <w:p w14:paraId="00000035" w14:textId="77777777" w:rsidR="005A7A82" w:rsidRDefault="00EE61BD">
      <w:pPr>
        <w:numPr>
          <w:ilvl w:val="1"/>
          <w:numId w:val="6"/>
        </w:numPr>
        <w:spacing w:line="240" w:lineRule="auto"/>
      </w:pPr>
      <w:r>
        <w:rPr>
          <w:b/>
        </w:rPr>
        <w:t>Multipart monographs and the WEM lock</w:t>
      </w:r>
    </w:p>
    <w:p w14:paraId="00000036" w14:textId="77777777" w:rsidR="005A7A82" w:rsidRDefault="00EE61BD">
      <w:pPr>
        <w:spacing w:line="240" w:lineRule="auto"/>
      </w:pPr>
      <w:r>
        <w:t>The LRM conceptual model, including the WEM lock model for diachronic works, underlies the structure of the beta Toolkit. The WEM lock applies not only to serials, but also to all other works in the new ca</w:t>
      </w:r>
      <w:r>
        <w:t>tegory of diachronic works, including multipart monographs published over time.  (See a fuller discussion of the issues involved in Appendix A.)  The task group thinks applying the WEM lock to serials will be an overall benefit to end users, although it wi</w:t>
      </w:r>
      <w:r>
        <w:t>ll require some changes to cataloging practice. Related serials considered as separate expressions under FRBR (e.g. translations, regional editions, etc.), are separate related works rather than expressions of the same work under the WEM lock. The task gro</w:t>
      </w:r>
      <w:r>
        <w:t xml:space="preserve">up feels this change will result in clearer displays of the relationships for end users and make cataloging simpler (see 2. above and 4. below). </w:t>
      </w:r>
    </w:p>
    <w:p w14:paraId="00000037" w14:textId="77777777" w:rsidR="005A7A82" w:rsidRDefault="00EE61BD">
      <w:pPr>
        <w:spacing w:line="240" w:lineRule="auto"/>
      </w:pPr>
      <w:r>
        <w:t>On the other hand applying the WEM lock to multipart monographs published over time (and not to multipart mono</w:t>
      </w:r>
      <w:r>
        <w:t xml:space="preserve">graphs published all at once) does not produce the same benefits for end users and leads to drastic changes in current cataloging practices.  No user thinks </w:t>
      </w:r>
      <w:r>
        <w:rPr>
          <w:i/>
        </w:rPr>
        <w:t>The Lord of the Rings</w:t>
      </w:r>
      <w:r>
        <w:t xml:space="preserve"> (a work originally published over the course of a year from July 1954 to Octo</w:t>
      </w:r>
      <w:r>
        <w:t>ber 1955) becomes a different work just because it gets translated, or recorded. No user thinks the complete works of Shakespeare suddenly somehow become a different set of works just because they get translated into another language, or a particular manif</w:t>
      </w:r>
      <w:r>
        <w:t>estation gets digitized. On the other hand, knowledgeable users do realize that various versions of serials (regional editions, etc.) probably contain different content, and thus could be considered different works.</w:t>
      </w:r>
    </w:p>
    <w:p w14:paraId="00000038" w14:textId="77777777" w:rsidR="005A7A82" w:rsidRDefault="00EE61BD">
      <w:pPr>
        <w:spacing w:line="240" w:lineRule="auto"/>
        <w:rPr>
          <w:b/>
        </w:rPr>
      </w:pPr>
      <w:r>
        <w:rPr>
          <w:b/>
        </w:rPr>
        <w:t xml:space="preserve">Recommendations </w:t>
      </w:r>
    </w:p>
    <w:p w14:paraId="00000039" w14:textId="77777777" w:rsidR="005A7A82" w:rsidRDefault="00EE61BD">
      <w:pPr>
        <w:numPr>
          <w:ilvl w:val="0"/>
          <w:numId w:val="3"/>
        </w:numPr>
        <w:spacing w:line="240" w:lineRule="auto"/>
      </w:pPr>
      <w:r>
        <w:t>The PCC should adopt th</w:t>
      </w:r>
      <w:r>
        <w:t>e following policy and exception.</w:t>
      </w:r>
    </w:p>
    <w:p w14:paraId="0000003A" w14:textId="77777777" w:rsidR="005A7A82" w:rsidRDefault="00EE61BD">
      <w:pPr>
        <w:spacing w:line="240" w:lineRule="auto"/>
        <w:rPr>
          <w:highlight w:val="yellow"/>
        </w:rPr>
      </w:pPr>
      <w:r>
        <w:rPr>
          <w:b/>
        </w:rPr>
        <w:t xml:space="preserve">Policy: </w:t>
      </w:r>
      <w:r>
        <w:t>Treat any work with an extension termination attribute of “determinate” (i.e. what current RDA calls a multipart monograph) as a static work, whether the work is complete at the time of cataloging or not. Do not apply the “WEM lock.” The task group has beg</w:t>
      </w:r>
      <w:r>
        <w:t>un a discussion with the LC-PCC Task Group on Aggregates in Beta RDA Toolkit regarding the extent to which such a policy might apply to various types of aggregates subject to the “WE lock.”</w:t>
      </w:r>
      <w:r>
        <w:rPr>
          <w:highlight w:val="yellow"/>
        </w:rPr>
        <w:t xml:space="preserve"> </w:t>
      </w:r>
    </w:p>
    <w:p w14:paraId="0000003B" w14:textId="77777777" w:rsidR="005A7A82" w:rsidRDefault="00EE61BD">
      <w:pPr>
        <w:spacing w:line="240" w:lineRule="auto"/>
      </w:pPr>
      <w:r>
        <w:rPr>
          <w:b/>
        </w:rPr>
        <w:t>Exception to the policy:</w:t>
      </w:r>
      <w:r>
        <w:t xml:space="preserve"> Do not apply this policy to diachronic w</w:t>
      </w:r>
      <w:r>
        <w:t>orks that exhibit all of the features of a serial except that they have a predetermined end. This includes works that are associated with an event of limited duration such as a conference, exhibition, census, etc., for example, a conference website, a news</w:t>
      </w:r>
      <w:r>
        <w:t>letter issued during a conference, and the bulletins published before the definitive volumes of a census.</w:t>
      </w:r>
    </w:p>
    <w:p w14:paraId="0000003C" w14:textId="77777777" w:rsidR="005A7A82" w:rsidRDefault="00EE61BD">
      <w:pPr>
        <w:numPr>
          <w:ilvl w:val="0"/>
          <w:numId w:val="3"/>
        </w:numPr>
        <w:spacing w:line="240" w:lineRule="auto"/>
      </w:pPr>
      <w:r>
        <w:t>Discussions between members of the Diachronic Task Group and the LC-PCC Task Group on Aggregates in Beta RDA Toolkit should continue and perhaps resul</w:t>
      </w:r>
      <w:r>
        <w:t>t in a joint discussion paper on the issues surrounding aggregates subject to the “WE lock.”</w:t>
      </w:r>
    </w:p>
    <w:p w14:paraId="0000003D" w14:textId="77777777" w:rsidR="005A7A82" w:rsidRDefault="005A7A82">
      <w:pPr>
        <w:spacing w:line="240" w:lineRule="auto"/>
        <w:ind w:left="720"/>
      </w:pPr>
    </w:p>
    <w:p w14:paraId="0000003E" w14:textId="77777777" w:rsidR="005A7A82" w:rsidRDefault="00EE61BD">
      <w:pPr>
        <w:numPr>
          <w:ilvl w:val="1"/>
          <w:numId w:val="6"/>
        </w:numPr>
        <w:pBdr>
          <w:top w:val="nil"/>
          <w:left w:val="nil"/>
          <w:bottom w:val="nil"/>
          <w:right w:val="nil"/>
          <w:between w:val="nil"/>
        </w:pBdr>
        <w:spacing w:line="240" w:lineRule="auto"/>
      </w:pPr>
      <w:r>
        <w:rPr>
          <w:b/>
        </w:rPr>
        <w:t>Basis for identification of the manifestation</w:t>
      </w:r>
    </w:p>
    <w:p w14:paraId="0000003F" w14:textId="77777777" w:rsidR="005A7A82" w:rsidRDefault="00EE61BD">
      <w:pPr>
        <w:spacing w:line="240" w:lineRule="auto"/>
      </w:pPr>
      <w:r>
        <w:t>The beta Toolkit has no equivalent to the current Toolkit’s 2.1 (Basis for identification of the manifestation) and specifically, in the context of diachronic works, 2.1.2.3 (Manifestation issued in more than one part) and 2.1.2.4 (Integrating resource). S</w:t>
      </w:r>
      <w:r>
        <w:t>ince selecting an issue, part, or iteration to serve as the basis for constructing a bibliographic description is fundamental to the cataloging of continuing resources, this problem needs to be addressed, either by the RSC, PCC, or both. Since these instru</w:t>
      </w:r>
      <w:r>
        <w:t>ctions affect the values of multiple RDA elements, they should probably be addressed in the Guidance chapter on Resource description (at Describing a manifestation of a diachronic work [12.04.38.42]).</w:t>
      </w:r>
    </w:p>
    <w:p w14:paraId="00000040" w14:textId="77777777" w:rsidR="005A7A82" w:rsidRDefault="005A7A82">
      <w:pPr>
        <w:spacing w:line="240" w:lineRule="auto"/>
      </w:pPr>
    </w:p>
    <w:p w14:paraId="00000041" w14:textId="77777777" w:rsidR="005A7A82" w:rsidRDefault="00EE61BD">
      <w:pPr>
        <w:spacing w:line="240" w:lineRule="auto"/>
        <w:ind w:left="720"/>
        <w:rPr>
          <w:b/>
        </w:rPr>
      </w:pPr>
      <w:r>
        <w:rPr>
          <w:b/>
        </w:rPr>
        <w:t xml:space="preserve">Recommendations: </w:t>
      </w:r>
    </w:p>
    <w:p w14:paraId="00000042" w14:textId="77777777" w:rsidR="005A7A82" w:rsidRDefault="00EE61BD">
      <w:pPr>
        <w:numPr>
          <w:ilvl w:val="0"/>
          <w:numId w:val="2"/>
        </w:numPr>
        <w:pBdr>
          <w:top w:val="nil"/>
          <w:left w:val="nil"/>
          <w:bottom w:val="nil"/>
          <w:right w:val="nil"/>
          <w:between w:val="nil"/>
        </w:pBdr>
        <w:spacing w:after="0" w:line="240" w:lineRule="auto"/>
      </w:pPr>
      <w:r>
        <w:rPr>
          <w:b/>
          <w:color w:val="000000"/>
        </w:rPr>
        <w:t>For the RSC:</w:t>
      </w:r>
      <w:r>
        <w:rPr>
          <w:color w:val="000000"/>
        </w:rPr>
        <w:t xml:space="preserve"> It is not clear whether</w:t>
      </w:r>
      <w:r>
        <w:rPr>
          <w:color w:val="000000"/>
        </w:rPr>
        <w:t xml:space="preserve"> the beta Toolkit intends to prescribe practice for the Basis of identification of the manifestation (as does the current Toolkit) or leave it up to the implementing community. If the RSC intends to leave it up to the implementing community, then a stateme</w:t>
      </w:r>
      <w:r>
        <w:rPr>
          <w:color w:val="000000"/>
        </w:rPr>
        <w:t>nt to this effect should be included in the Guidance chapter</w:t>
      </w:r>
    </w:p>
    <w:p w14:paraId="00000043" w14:textId="77777777" w:rsidR="005A7A82" w:rsidRDefault="00EE61BD">
      <w:pPr>
        <w:numPr>
          <w:ilvl w:val="0"/>
          <w:numId w:val="2"/>
        </w:numPr>
        <w:pBdr>
          <w:top w:val="nil"/>
          <w:left w:val="nil"/>
          <w:bottom w:val="nil"/>
          <w:right w:val="nil"/>
          <w:between w:val="nil"/>
        </w:pBdr>
        <w:spacing w:after="0" w:line="240" w:lineRule="auto"/>
      </w:pPr>
      <w:r>
        <w:rPr>
          <w:b/>
          <w:color w:val="000000"/>
        </w:rPr>
        <w:t>For the PCC:</w:t>
      </w:r>
      <w:r>
        <w:rPr>
          <w:color w:val="000000"/>
        </w:rPr>
        <w:t xml:space="preserve"> LC-PCC practice should be set out in a related PS if the decision is left to implementing communities. The task group recommends continuing current LC-PCC practice as set forth at 2.</w:t>
      </w:r>
      <w:r>
        <w:rPr>
          <w:color w:val="000000"/>
        </w:rPr>
        <w:t xml:space="preserve">1.2.3 and the related PS (as well as the PS at 6.2.2.3 for choosing the preferred title for a series) and 2.1.2.4. </w:t>
      </w:r>
    </w:p>
    <w:p w14:paraId="00000044" w14:textId="14838AD4" w:rsidR="005A7A82" w:rsidRPr="00EE61BD" w:rsidRDefault="00EE61BD">
      <w:pPr>
        <w:numPr>
          <w:ilvl w:val="0"/>
          <w:numId w:val="2"/>
        </w:numPr>
        <w:pBdr>
          <w:top w:val="nil"/>
          <w:left w:val="nil"/>
          <w:bottom w:val="nil"/>
          <w:right w:val="nil"/>
          <w:between w:val="nil"/>
        </w:pBdr>
        <w:spacing w:line="240" w:lineRule="auto"/>
      </w:pPr>
      <w:r>
        <w:rPr>
          <w:b/>
          <w:color w:val="000000"/>
        </w:rPr>
        <w:t>For the RSC:</w:t>
      </w:r>
      <w:r>
        <w:rPr>
          <w:color w:val="000000"/>
        </w:rPr>
        <w:t xml:space="preserve"> The task group recommends that the text of the RDA heading and option at [49.78.99.45] in the instructions for Manifestation: </w:t>
      </w:r>
      <w:r>
        <w:rPr>
          <w:i/>
          <w:color w:val="000000"/>
        </w:rPr>
        <w:t>n</w:t>
      </w:r>
      <w:r>
        <w:rPr>
          <w:i/>
          <w:color w:val="000000"/>
        </w:rPr>
        <w:t>ote on issue, part, or iteration used as basis for identification of manifestation</w:t>
      </w:r>
      <w:r>
        <w:rPr>
          <w:color w:val="000000"/>
        </w:rPr>
        <w:t xml:space="preserve"> be revised to reflect beta Toolkit terminology and practice. </w:t>
      </w:r>
    </w:p>
    <w:p w14:paraId="1571ADAD" w14:textId="43277A1F" w:rsidR="00EE61BD" w:rsidRDefault="00EE61BD">
      <w:pPr>
        <w:rPr>
          <w:b/>
          <w:color w:val="000000"/>
        </w:rPr>
      </w:pPr>
      <w:r>
        <w:rPr>
          <w:b/>
          <w:color w:val="000000"/>
        </w:rPr>
        <w:br w:type="page"/>
      </w:r>
    </w:p>
    <w:p w14:paraId="00000045" w14:textId="77777777" w:rsidR="005A7A82" w:rsidRDefault="00EE61BD">
      <w:pPr>
        <w:numPr>
          <w:ilvl w:val="0"/>
          <w:numId w:val="6"/>
        </w:numPr>
        <w:pBdr>
          <w:top w:val="nil"/>
          <w:left w:val="nil"/>
          <w:bottom w:val="nil"/>
          <w:right w:val="nil"/>
          <w:between w:val="nil"/>
        </w:pBdr>
        <w:spacing w:after="0" w:line="240" w:lineRule="auto"/>
        <w:rPr>
          <w:b/>
          <w:color w:val="000000"/>
        </w:rPr>
      </w:pPr>
      <w:bookmarkStart w:id="0" w:name="_GoBack"/>
      <w:bookmarkEnd w:id="0"/>
      <w:r>
        <w:rPr>
          <w:b/>
        </w:rPr>
        <w:t>Issues to be investigated or clarified by the RSC and/or NARDAC</w:t>
      </w:r>
    </w:p>
    <w:p w14:paraId="00000046" w14:textId="77777777" w:rsidR="005A7A82" w:rsidRDefault="005A7A82">
      <w:pPr>
        <w:pBdr>
          <w:top w:val="nil"/>
          <w:left w:val="nil"/>
          <w:bottom w:val="nil"/>
          <w:right w:val="nil"/>
          <w:between w:val="nil"/>
        </w:pBdr>
        <w:spacing w:after="0" w:line="240" w:lineRule="auto"/>
        <w:rPr>
          <w:b/>
        </w:rPr>
      </w:pPr>
    </w:p>
    <w:p w14:paraId="00000047" w14:textId="77777777" w:rsidR="005A7A82" w:rsidRDefault="00EE61BD">
      <w:pPr>
        <w:numPr>
          <w:ilvl w:val="1"/>
          <w:numId w:val="6"/>
        </w:numPr>
        <w:pBdr>
          <w:top w:val="nil"/>
          <w:left w:val="nil"/>
          <w:bottom w:val="nil"/>
          <w:right w:val="nil"/>
          <w:between w:val="nil"/>
        </w:pBdr>
        <w:spacing w:after="0" w:line="240" w:lineRule="auto"/>
        <w:rPr>
          <w:color w:val="000000"/>
        </w:rPr>
      </w:pPr>
      <w:r>
        <w:rPr>
          <w:b/>
          <w:color w:val="000000"/>
        </w:rPr>
        <w:t>Series relationships and transcribed series statements</w:t>
      </w:r>
    </w:p>
    <w:p w14:paraId="00000048" w14:textId="77777777" w:rsidR="005A7A82" w:rsidRDefault="005A7A82">
      <w:pPr>
        <w:pBdr>
          <w:top w:val="nil"/>
          <w:left w:val="nil"/>
          <w:bottom w:val="nil"/>
          <w:right w:val="nil"/>
          <w:between w:val="nil"/>
        </w:pBdr>
        <w:spacing w:after="0" w:line="240" w:lineRule="auto"/>
        <w:rPr>
          <w:b/>
          <w:color w:val="000000"/>
        </w:rPr>
      </w:pPr>
    </w:p>
    <w:p w14:paraId="00000049" w14:textId="77777777" w:rsidR="005A7A82" w:rsidRDefault="00EE61BD">
      <w:pPr>
        <w:pBdr>
          <w:top w:val="nil"/>
          <w:left w:val="nil"/>
          <w:bottom w:val="nil"/>
          <w:right w:val="nil"/>
          <w:between w:val="nil"/>
        </w:pBdr>
        <w:spacing w:after="0" w:line="240" w:lineRule="auto"/>
        <w:rPr>
          <w:color w:val="000000"/>
        </w:rPr>
      </w:pPr>
      <w:r>
        <w:rPr>
          <w:color w:val="000000"/>
        </w:rPr>
        <w:t xml:space="preserve">The </w:t>
      </w:r>
      <w:r>
        <w:t>beta</w:t>
      </w:r>
      <w:r>
        <w:rPr>
          <w:color w:val="000000"/>
        </w:rPr>
        <w:t xml:space="preserve"> Toolkit does not distinguish between series and subseries other than as a relationship between works. When a serial belongs to both a series and a subseries, the series RDA manifestation elem</w:t>
      </w:r>
      <w:r>
        <w:rPr>
          <w:color w:val="000000"/>
        </w:rPr>
        <w:t>ents are used to describe both series and subseries:</w:t>
      </w:r>
    </w:p>
    <w:p w14:paraId="0000004A" w14:textId="77777777" w:rsidR="005A7A82" w:rsidRDefault="005A7A82">
      <w:pPr>
        <w:pBdr>
          <w:top w:val="nil"/>
          <w:left w:val="nil"/>
          <w:bottom w:val="nil"/>
          <w:right w:val="nil"/>
          <w:between w:val="nil"/>
        </w:pBdr>
        <w:spacing w:after="0" w:line="240" w:lineRule="auto"/>
        <w:ind w:left="720" w:hanging="720"/>
        <w:rPr>
          <w:color w:val="000000"/>
        </w:rPr>
      </w:pPr>
    </w:p>
    <w:p w14:paraId="0000004B" w14:textId="77777777" w:rsidR="005A7A82" w:rsidRDefault="00EE61BD">
      <w:pPr>
        <w:numPr>
          <w:ilvl w:val="0"/>
          <w:numId w:val="1"/>
        </w:numPr>
        <w:pBdr>
          <w:top w:val="nil"/>
          <w:left w:val="nil"/>
          <w:bottom w:val="nil"/>
          <w:right w:val="nil"/>
          <w:between w:val="nil"/>
        </w:pBdr>
        <w:spacing w:after="0" w:line="240" w:lineRule="auto"/>
        <w:ind w:left="1080"/>
        <w:rPr>
          <w:color w:val="000000"/>
        </w:rPr>
      </w:pPr>
      <w:r>
        <w:rPr>
          <w:color w:val="000000"/>
        </w:rPr>
        <w:t>Manifestation: title of series (not “title proper” as at present)</w:t>
      </w:r>
    </w:p>
    <w:p w14:paraId="0000004C" w14:textId="77777777" w:rsidR="005A7A82" w:rsidRDefault="00EE61BD">
      <w:pPr>
        <w:numPr>
          <w:ilvl w:val="0"/>
          <w:numId w:val="1"/>
        </w:numPr>
        <w:pBdr>
          <w:top w:val="nil"/>
          <w:left w:val="nil"/>
          <w:bottom w:val="nil"/>
          <w:right w:val="nil"/>
          <w:between w:val="nil"/>
        </w:pBdr>
        <w:spacing w:after="0" w:line="240" w:lineRule="auto"/>
        <w:ind w:left="1080"/>
        <w:rPr>
          <w:color w:val="000000"/>
        </w:rPr>
      </w:pPr>
      <w:r>
        <w:rPr>
          <w:color w:val="000000"/>
        </w:rPr>
        <w:t>Manifestation: other title information of series</w:t>
      </w:r>
    </w:p>
    <w:p w14:paraId="0000004D" w14:textId="77777777" w:rsidR="005A7A82" w:rsidRDefault="00EE61BD">
      <w:pPr>
        <w:numPr>
          <w:ilvl w:val="0"/>
          <w:numId w:val="1"/>
        </w:numPr>
        <w:pBdr>
          <w:top w:val="nil"/>
          <w:left w:val="nil"/>
          <w:bottom w:val="nil"/>
          <w:right w:val="nil"/>
          <w:between w:val="nil"/>
        </w:pBdr>
        <w:spacing w:after="0" w:line="240" w:lineRule="auto"/>
        <w:ind w:left="1080"/>
        <w:rPr>
          <w:color w:val="000000"/>
        </w:rPr>
      </w:pPr>
      <w:r>
        <w:rPr>
          <w:color w:val="000000"/>
        </w:rPr>
        <w:t>Manifestation: statement of responsibility relating to series</w:t>
      </w:r>
    </w:p>
    <w:p w14:paraId="0000004E" w14:textId="77777777" w:rsidR="005A7A82" w:rsidRDefault="00EE61BD">
      <w:pPr>
        <w:numPr>
          <w:ilvl w:val="0"/>
          <w:numId w:val="1"/>
        </w:numPr>
        <w:pBdr>
          <w:top w:val="nil"/>
          <w:left w:val="nil"/>
          <w:bottom w:val="nil"/>
          <w:right w:val="nil"/>
          <w:between w:val="nil"/>
        </w:pBdr>
        <w:spacing w:after="0" w:line="240" w:lineRule="auto"/>
        <w:ind w:left="1080"/>
        <w:rPr>
          <w:color w:val="000000"/>
        </w:rPr>
      </w:pPr>
      <w:r>
        <w:rPr>
          <w:color w:val="000000"/>
        </w:rPr>
        <w:t xml:space="preserve">Manifestation: numbering within sequence (no longer a separate “numbering within series” element) </w:t>
      </w:r>
    </w:p>
    <w:p w14:paraId="0000004F" w14:textId="77777777" w:rsidR="005A7A82" w:rsidRDefault="00EE61BD">
      <w:pPr>
        <w:numPr>
          <w:ilvl w:val="0"/>
          <w:numId w:val="1"/>
        </w:numPr>
        <w:pBdr>
          <w:top w:val="nil"/>
          <w:left w:val="nil"/>
          <w:bottom w:val="nil"/>
          <w:right w:val="nil"/>
          <w:between w:val="nil"/>
        </w:pBdr>
        <w:spacing w:after="0" w:line="240" w:lineRule="auto"/>
        <w:ind w:left="1080"/>
        <w:rPr>
          <w:color w:val="000000"/>
        </w:rPr>
      </w:pPr>
      <w:r>
        <w:rPr>
          <w:color w:val="000000"/>
        </w:rPr>
        <w:t xml:space="preserve">There is no element for a transcribed ISSN of series in the </w:t>
      </w:r>
      <w:r>
        <w:t>b</w:t>
      </w:r>
      <w:r>
        <w:rPr>
          <w:color w:val="000000"/>
        </w:rPr>
        <w:t>eta RDA Toolkit. If one wants to follow ISBD and record an ISSN of series appearing on the manif</w:t>
      </w:r>
      <w:r>
        <w:rPr>
          <w:color w:val="000000"/>
        </w:rPr>
        <w:t>estation, it must be done as part of a structured description using the super-element Manifestation: series statement”</w:t>
      </w:r>
    </w:p>
    <w:p w14:paraId="00000050" w14:textId="77777777" w:rsidR="005A7A82" w:rsidRDefault="005A7A82">
      <w:pPr>
        <w:pBdr>
          <w:top w:val="nil"/>
          <w:left w:val="nil"/>
          <w:bottom w:val="nil"/>
          <w:right w:val="nil"/>
          <w:between w:val="nil"/>
        </w:pBdr>
        <w:spacing w:after="0" w:line="240" w:lineRule="auto"/>
        <w:ind w:left="720"/>
      </w:pPr>
    </w:p>
    <w:p w14:paraId="00000051" w14:textId="77777777" w:rsidR="005A7A82" w:rsidRDefault="00EE61BD">
      <w:pPr>
        <w:pBdr>
          <w:top w:val="nil"/>
          <w:left w:val="nil"/>
          <w:bottom w:val="nil"/>
          <w:right w:val="nil"/>
          <w:between w:val="nil"/>
        </w:pBdr>
        <w:spacing w:after="0" w:line="240" w:lineRule="auto"/>
      </w:pPr>
      <w:r>
        <w:rPr>
          <w:b/>
        </w:rPr>
        <w:t>Recommendation:</w:t>
      </w:r>
      <w:r>
        <w:t xml:space="preserve"> The task group asks that the RSC and NARDAC investigate this issue and consider a change and/or clarification of the appropriate practice.</w:t>
      </w:r>
    </w:p>
    <w:p w14:paraId="00000052" w14:textId="77777777" w:rsidR="005A7A82" w:rsidRDefault="005A7A82">
      <w:pPr>
        <w:pBdr>
          <w:top w:val="nil"/>
          <w:left w:val="nil"/>
          <w:bottom w:val="nil"/>
          <w:right w:val="nil"/>
          <w:between w:val="nil"/>
        </w:pBdr>
        <w:spacing w:after="0" w:line="240" w:lineRule="auto"/>
        <w:ind w:left="720" w:hanging="720"/>
        <w:rPr>
          <w:b/>
          <w:color w:val="000000"/>
        </w:rPr>
      </w:pPr>
    </w:p>
    <w:p w14:paraId="00000053" w14:textId="77777777" w:rsidR="005A7A82" w:rsidRDefault="00EE61BD">
      <w:pPr>
        <w:numPr>
          <w:ilvl w:val="1"/>
          <w:numId w:val="6"/>
        </w:numPr>
        <w:pBdr>
          <w:top w:val="nil"/>
          <w:left w:val="nil"/>
          <w:bottom w:val="nil"/>
          <w:right w:val="nil"/>
          <w:between w:val="nil"/>
        </w:pBdr>
        <w:spacing w:after="0" w:line="240" w:lineRule="auto"/>
        <w:rPr>
          <w:color w:val="000000"/>
        </w:rPr>
      </w:pPr>
      <w:r>
        <w:rPr>
          <w:b/>
        </w:rPr>
        <w:t>Other Distinguishing Characteristic of Work</w:t>
      </w:r>
    </w:p>
    <w:p w14:paraId="00000054" w14:textId="77777777" w:rsidR="005A7A82" w:rsidRDefault="005A7A82">
      <w:pPr>
        <w:spacing w:after="0" w:line="240" w:lineRule="auto"/>
        <w:rPr>
          <w:color w:val="000000"/>
        </w:rPr>
      </w:pPr>
    </w:p>
    <w:p w14:paraId="00000055" w14:textId="77777777" w:rsidR="005A7A82" w:rsidRDefault="00EE61BD">
      <w:r>
        <w:t>The current RDA Toolkit element Work: other distinguishing characteris</w:t>
      </w:r>
      <w:r>
        <w:t>tic of work (rdaw:P10003) is now listed as “deprecated” in the RDA Registry.  The beta Toolkit options at “Additional elements and designations in authorized access point for work” (13.98.40.08) do not provide options that will allow constructions of a Wor</w:t>
      </w:r>
      <w:r>
        <w:t>k: authorized access point for work from component Work elements in these cases.</w:t>
      </w:r>
    </w:p>
    <w:p w14:paraId="00000056" w14:textId="77777777" w:rsidR="005A7A82" w:rsidRDefault="00EE61BD">
      <w:pPr>
        <w:spacing w:before="240"/>
      </w:pPr>
      <w:r>
        <w:t>Examples of other additional characteristics of work (in parentheses below) [SOURCE: ISSN Manual, 2015]. These authorized access points would not be permitted without the avai</w:t>
      </w:r>
      <w:r>
        <w:t>lability of this element, but reflect current practice.</w:t>
      </w:r>
    </w:p>
    <w:p w14:paraId="00000057" w14:textId="77777777" w:rsidR="005A7A82" w:rsidRDefault="00EE61BD">
      <w:pPr>
        <w:numPr>
          <w:ilvl w:val="0"/>
          <w:numId w:val="4"/>
        </w:numPr>
        <w:spacing w:before="240" w:after="0"/>
        <w:ind w:left="1080"/>
      </w:pPr>
      <w:r>
        <w:t>Geographic edition: Alberta Catholic directory (Calgary edition)</w:t>
      </w:r>
    </w:p>
    <w:p w14:paraId="00000058" w14:textId="77777777" w:rsidR="005A7A82" w:rsidRDefault="00EE61BD">
      <w:pPr>
        <w:numPr>
          <w:ilvl w:val="0"/>
          <w:numId w:val="4"/>
        </w:numPr>
        <w:spacing w:after="0"/>
        <w:ind w:left="1080"/>
      </w:pPr>
      <w:r>
        <w:t>Medium: Canada year book (CD-ROM)</w:t>
      </w:r>
    </w:p>
    <w:p w14:paraId="00000059" w14:textId="77777777" w:rsidR="005A7A82" w:rsidRDefault="00EE61BD">
      <w:pPr>
        <w:numPr>
          <w:ilvl w:val="0"/>
          <w:numId w:val="4"/>
        </w:numPr>
        <w:spacing w:after="0"/>
        <w:ind w:left="1080"/>
      </w:pPr>
      <w:r>
        <w:t>Issuing body: Economic bulletin (Communist Party of Great Britain. Economic Committee)</w:t>
      </w:r>
    </w:p>
    <w:p w14:paraId="0000005A" w14:textId="77777777" w:rsidR="005A7A82" w:rsidRDefault="00EE61BD">
      <w:pPr>
        <w:numPr>
          <w:ilvl w:val="0"/>
          <w:numId w:val="4"/>
        </w:numPr>
        <w:spacing w:after="0"/>
        <w:ind w:left="1080"/>
      </w:pPr>
      <w:r>
        <w:t>Publisher: Marine science (Plenum)</w:t>
      </w:r>
    </w:p>
    <w:p w14:paraId="0000005B" w14:textId="77777777" w:rsidR="005A7A82" w:rsidRDefault="00EE61BD">
      <w:pPr>
        <w:numPr>
          <w:ilvl w:val="0"/>
          <w:numId w:val="4"/>
        </w:numPr>
        <w:pBdr>
          <w:top w:val="nil"/>
          <w:left w:val="nil"/>
          <w:bottom w:val="nil"/>
          <w:right w:val="nil"/>
          <w:between w:val="nil"/>
        </w:pBdr>
        <w:ind w:left="1080"/>
      </w:pPr>
      <w:r>
        <w:t>Other bibliographic information: McCall’s (Pattern book)</w:t>
      </w:r>
    </w:p>
    <w:p w14:paraId="0000005C" w14:textId="77777777" w:rsidR="005A7A82" w:rsidRDefault="00EE61BD">
      <w:pPr>
        <w:widowControl w:val="0"/>
        <w:pBdr>
          <w:top w:val="nil"/>
          <w:left w:val="nil"/>
          <w:bottom w:val="nil"/>
          <w:right w:val="nil"/>
          <w:between w:val="nil"/>
        </w:pBdr>
        <w:spacing w:after="0" w:line="240" w:lineRule="auto"/>
        <w:rPr>
          <w:rFonts w:ascii="Arial" w:eastAsia="Arial" w:hAnsi="Arial" w:cs="Arial"/>
          <w:color w:val="000000"/>
        </w:rPr>
      </w:pPr>
      <w:r>
        <w:rPr>
          <w:b/>
        </w:rPr>
        <w:t>Recommendation:</w:t>
      </w:r>
      <w:r>
        <w:t xml:space="preserve"> The Task group recommends that</w:t>
      </w:r>
      <w:r>
        <w:rPr>
          <w:b/>
        </w:rPr>
        <w:t xml:space="preserve"> </w:t>
      </w:r>
      <w:r>
        <w:rPr>
          <w:color w:val="000000"/>
        </w:rPr>
        <w:t>RSC investigate reinstating Work: other distinguishing characteristics of work to accommodate a term that is not a va</w:t>
      </w:r>
      <w:r>
        <w:rPr>
          <w:color w:val="000000"/>
        </w:rPr>
        <w:t>lue of an existing work element but is, in certain cases, the most useful term to unambiguously distinguish one work from another</w:t>
      </w:r>
    </w:p>
    <w:p w14:paraId="0000005D" w14:textId="0498089B" w:rsidR="00EE61BD" w:rsidRDefault="00EE61BD">
      <w:pPr>
        <w:rPr>
          <w:b/>
          <w:color w:val="FF0000"/>
        </w:rPr>
      </w:pPr>
      <w:r>
        <w:rPr>
          <w:b/>
          <w:color w:val="FF0000"/>
        </w:rPr>
        <w:br w:type="page"/>
      </w:r>
    </w:p>
    <w:p w14:paraId="0000005E" w14:textId="77777777" w:rsidR="005A7A82" w:rsidRDefault="00EE61BD">
      <w:pPr>
        <w:pBdr>
          <w:top w:val="nil"/>
          <w:left w:val="nil"/>
          <w:bottom w:val="nil"/>
          <w:right w:val="nil"/>
          <w:between w:val="nil"/>
        </w:pBdr>
        <w:spacing w:after="0" w:line="240" w:lineRule="auto"/>
        <w:rPr>
          <w:b/>
        </w:rPr>
      </w:pPr>
      <w:r>
        <w:rPr>
          <w:b/>
        </w:rPr>
        <w:t>Appendix A</w:t>
      </w:r>
    </w:p>
    <w:p w14:paraId="0000005F" w14:textId="77777777" w:rsidR="005A7A82" w:rsidRDefault="005A7A82">
      <w:pPr>
        <w:spacing w:after="0" w:line="240" w:lineRule="auto"/>
      </w:pPr>
    </w:p>
    <w:p w14:paraId="00000060" w14:textId="77777777" w:rsidR="005A7A82" w:rsidRDefault="00EE61BD" w:rsidP="00EE61BD">
      <w:pPr>
        <w:spacing w:line="240" w:lineRule="auto"/>
        <w:rPr>
          <w:b/>
        </w:rPr>
      </w:pPr>
      <w:r>
        <w:rPr>
          <w:b/>
        </w:rPr>
        <w:t>Multipart monographs and the WEM lock: discussion brief</w:t>
      </w:r>
    </w:p>
    <w:p w14:paraId="00000061" w14:textId="77777777" w:rsidR="005A7A82" w:rsidRDefault="00EE61BD">
      <w:pPr>
        <w:spacing w:after="0"/>
      </w:pPr>
      <w:r>
        <w:t>Principle</w:t>
      </w:r>
    </w:p>
    <w:p w14:paraId="00000062" w14:textId="77777777" w:rsidR="005A7A82" w:rsidRDefault="00EE61BD">
      <w:r>
        <w:t xml:space="preserve">Catalogers are not required to verify what an entity purports to be. </w:t>
      </w:r>
    </w:p>
    <w:p w14:paraId="00000063" w14:textId="77777777" w:rsidR="005A7A82" w:rsidRDefault="00EE61BD">
      <w:r>
        <w:t>Assumptions based on the principle</w:t>
      </w:r>
    </w:p>
    <w:p w14:paraId="00000064" w14:textId="77777777" w:rsidR="005A7A82" w:rsidRDefault="00EE61BD">
      <w:r>
        <w:t>There are some basic assumptions baked into cataloging culture for practical reasons, to keep catalogers from having to do extensive research or compar</w:t>
      </w:r>
      <w:r>
        <w:t xml:space="preserve">ison to verify the contents of collections or aggregates. These apply both to monograph cataloging and to serials cataloging, and have the same purpose, but the assumptions differ somewhat between the two cataloging communities. </w:t>
      </w:r>
    </w:p>
    <w:p w14:paraId="00000065" w14:textId="77777777" w:rsidR="005A7A82" w:rsidRDefault="00EE61BD">
      <w:pPr>
        <w:rPr>
          <w:i/>
        </w:rPr>
      </w:pPr>
      <w:r>
        <w:rPr>
          <w:i/>
        </w:rPr>
        <w:t>Monographs</w:t>
      </w:r>
    </w:p>
    <w:p w14:paraId="00000066" w14:textId="77777777" w:rsidR="005A7A82" w:rsidRDefault="00EE61BD">
      <w:r>
        <w:t>The default ass</w:t>
      </w:r>
      <w:r>
        <w:t xml:space="preserve">umption is that two collections that purport to be the same thing </w:t>
      </w:r>
      <w:r>
        <w:rPr>
          <w:i/>
        </w:rPr>
        <w:t>are</w:t>
      </w:r>
      <w:r>
        <w:t xml:space="preserve"> the same. Catalogers don’t need to verify or compare the contents of the two aggregates, and if they purport to be the same they are considered to be the same work, capable of having different expressions. The assumption about monographs is based on a cen</w:t>
      </w:r>
      <w:r>
        <w:t>tury of real-world experience in and out of cataloging.</w:t>
      </w:r>
    </w:p>
    <w:p w14:paraId="00000067" w14:textId="77777777" w:rsidR="005A7A82" w:rsidRDefault="00EE61BD">
      <w:r>
        <w:t>Examples:</w:t>
      </w:r>
    </w:p>
    <w:p w14:paraId="00000068" w14:textId="77777777" w:rsidR="005A7A82" w:rsidRDefault="00EE61BD">
      <w:pPr>
        <w:numPr>
          <w:ilvl w:val="0"/>
          <w:numId w:val="5"/>
        </w:numPr>
        <w:spacing w:after="0"/>
        <w:ind w:left="1080"/>
      </w:pPr>
      <w:bookmarkStart w:id="1" w:name="_gjdgxs" w:colFirst="0" w:colLast="0"/>
      <w:bookmarkEnd w:id="1"/>
      <w:r>
        <w:t>The complete works, the complete plays, the complete poetry, etc., of X</w:t>
      </w:r>
      <w:r>
        <w:br/>
        <w:t xml:space="preserve"> These are by nature diachronic because they were produced over X’s lifetime. If a collection purports to be complete,</w:t>
      </w:r>
      <w:r>
        <w:t xml:space="preserve"> catalogers assume it is what it purports to be and don’t verify that all the works really are there. Because there is only one set of the complete works (plays, etc.) of anyone there can be only one aggregate. The “WEM lock”—every manifestation produces a</w:t>
      </w:r>
      <w:r>
        <w:t xml:space="preserve"> new work--doesn’t make sense in this context. Nor does the “WE lock”—every expression produces a new work.  Because there can only be one basic work (the collection), you can’t say there can only be one expression. The creation of a spoken word version of</w:t>
      </w:r>
      <w:r>
        <w:t xml:space="preserve"> the complete plays of X does not transform that collection into a new work; nor does the creation of a translation.</w:t>
      </w:r>
    </w:p>
    <w:p w14:paraId="00000069" w14:textId="77777777" w:rsidR="005A7A82" w:rsidRDefault="00EE61BD">
      <w:pPr>
        <w:numPr>
          <w:ilvl w:val="0"/>
          <w:numId w:val="5"/>
        </w:numPr>
        <w:spacing w:after="0"/>
        <w:ind w:left="1080"/>
      </w:pPr>
      <w:r>
        <w:t xml:space="preserve">A multipart monograph series, e.g. </w:t>
      </w:r>
      <w:r>
        <w:rPr>
          <w:i/>
        </w:rPr>
        <w:t>Chronicles of Narnia</w:t>
      </w:r>
      <w:r>
        <w:t xml:space="preserve">, </w:t>
      </w:r>
      <w:r>
        <w:rPr>
          <w:i/>
        </w:rPr>
        <w:t>Lord of the rings</w:t>
      </w:r>
      <w:r>
        <w:rPr>
          <w:i/>
        </w:rPr>
        <w:br/>
      </w:r>
      <w:r>
        <w:t xml:space="preserve"> These are viewed by library users and librarians alike as a sin</w:t>
      </w:r>
      <w:r>
        <w:t>gle (aggregate) work, whether translated, republished, reformatted, recorded.</w:t>
      </w:r>
    </w:p>
    <w:p w14:paraId="0000006A" w14:textId="77777777" w:rsidR="005A7A82" w:rsidRDefault="00EE61BD">
      <w:pPr>
        <w:numPr>
          <w:ilvl w:val="0"/>
          <w:numId w:val="5"/>
        </w:numPr>
        <w:spacing w:after="240"/>
        <w:ind w:left="1080"/>
      </w:pPr>
      <w:r>
        <w:t xml:space="preserve">A multipart monograph non-series, e.g. </w:t>
      </w:r>
      <w:r>
        <w:rPr>
          <w:i/>
        </w:rPr>
        <w:t>Encyclopaedia Britannica</w:t>
      </w:r>
      <w:r>
        <w:rPr>
          <w:i/>
        </w:rPr>
        <w:br/>
      </w:r>
      <w:r>
        <w:t xml:space="preserve"> This could be diachronic or not; it certainly is an aggregate work. In neither case can it reasonably be said tha</w:t>
      </w:r>
      <w:r>
        <w:t>t every time it gets published it’s a new work (WEM lock) or every time it gets a new expression it’s a new work (WE lock)</w:t>
      </w:r>
    </w:p>
    <w:p w14:paraId="12216A7C" w14:textId="77777777" w:rsidR="00EE61BD" w:rsidRDefault="00EE61BD">
      <w:r>
        <w:br w:type="page"/>
      </w:r>
    </w:p>
    <w:p w14:paraId="0000006B" w14:textId="35F1A3B0" w:rsidR="005A7A82" w:rsidRDefault="00EE61BD">
      <w:pPr>
        <w:spacing w:after="0"/>
      </w:pPr>
      <w:r>
        <w:t xml:space="preserve"> </w:t>
      </w:r>
    </w:p>
    <w:p w14:paraId="0000006C" w14:textId="77777777" w:rsidR="005A7A82" w:rsidRDefault="00EE61BD">
      <w:pPr>
        <w:rPr>
          <w:i/>
        </w:rPr>
      </w:pPr>
      <w:r>
        <w:rPr>
          <w:i/>
        </w:rPr>
        <w:t>Serials</w:t>
      </w:r>
    </w:p>
    <w:p w14:paraId="0000006D" w14:textId="77777777" w:rsidR="005A7A82" w:rsidRDefault="00EE61BD">
      <w:r>
        <w:t>In current cataloging practice, serials catalogers have attempted to apply similar logic to serials, treating translations,</w:t>
      </w:r>
      <w:r>
        <w:t xml:space="preserve"> new editions, regional editions, etc. as expressions of the same work.  But the LRM's approach to serials is based on their diachronic nature: it is impossible to predict whether two resources will remain the same in terms of content even if they are the </w:t>
      </w:r>
      <w:r>
        <w:t>same at a particular point in time.  To avoid the cataloger having to perform the often impossible task of verifying the past, present, or future contents of the two diachronic works to make sure they are the same, the LRM introduces a new, opposite assump</w:t>
      </w:r>
      <w:r>
        <w:t>tion: that every diachronic resource is a separate work, and that no diachronic work has multiple expressions or manifestations.</w:t>
      </w:r>
    </w:p>
    <w:p w14:paraId="0000006E" w14:textId="77777777" w:rsidR="005A7A82" w:rsidRDefault="00EE61BD">
      <w:r>
        <w:t>Library users think of multipart monographs (like the examples described above) as single works. On the other hand, knowledgeab</w:t>
      </w:r>
      <w:r>
        <w:t>le users do realize that various versions of serials (regional editions, etc.) probably contain different content, and thus could be considered different works.</w:t>
      </w:r>
    </w:p>
    <w:p w14:paraId="0000006F" w14:textId="77777777" w:rsidR="005A7A82" w:rsidRDefault="005A7A82">
      <w:pPr>
        <w:spacing w:after="0" w:line="240" w:lineRule="auto"/>
        <w:ind w:left="720"/>
        <w:rPr>
          <w:b/>
        </w:rPr>
      </w:pPr>
    </w:p>
    <w:p w14:paraId="00000070" w14:textId="77777777" w:rsidR="005A7A82" w:rsidRDefault="00EE61BD" w:rsidP="00EE61BD">
      <w:pPr>
        <w:spacing w:line="240" w:lineRule="auto"/>
        <w:rPr>
          <w:b/>
        </w:rPr>
      </w:pPr>
      <w:r>
        <w:rPr>
          <w:b/>
        </w:rPr>
        <w:t>Appendix B</w:t>
      </w:r>
    </w:p>
    <w:p w14:paraId="00000071" w14:textId="4862FA9E" w:rsidR="005A7A82" w:rsidRDefault="00EE61BD" w:rsidP="00EE61BD">
      <w:pPr>
        <w:spacing w:line="240" w:lineRule="auto"/>
        <w:rPr>
          <w:b/>
        </w:rPr>
      </w:pPr>
      <w:r>
        <w:rPr>
          <w:b/>
        </w:rPr>
        <w:t>Repeating the Title Proper: discussion brief</w:t>
      </w:r>
    </w:p>
    <w:p w14:paraId="00000072" w14:textId="77777777" w:rsidR="005A7A82" w:rsidRDefault="00EE61BD">
      <w:pPr>
        <w:spacing w:line="240" w:lineRule="auto"/>
      </w:pPr>
      <w:r>
        <w:t>The treatment of title proper in the Beta Toolkit might open the door to a proposal that was made for RDA when it was being first developed.  The proposal was to make the title proper repeatable for serials and include a date span. The current ability to r</w:t>
      </w:r>
      <w:r>
        <w:t>epeat place and publisher information using dates has been working well. Taking a similar approach to the title proper could solve a long-standing problem with minor title changes, namely, that when what would otherwise be the title proper is determined to</w:t>
      </w:r>
      <w:r>
        <w:t xml:space="preserve"> be a minor title change it is treated as a variant title.  </w:t>
      </w:r>
    </w:p>
    <w:p w14:paraId="00000073" w14:textId="77777777" w:rsidR="005A7A82" w:rsidRDefault="00EE61BD">
      <w:pPr>
        <w:spacing w:line="240" w:lineRule="auto"/>
      </w:pPr>
      <w:r>
        <w:t>What we really have in these situations is a new title proper but one that does not represent a significant enough change to result in a new work. The new title in every respect acts like a title</w:t>
      </w:r>
      <w:r>
        <w:t xml:space="preserve"> proper and current treatment as a variant title does a disservice to catalog users, especially when they encounter short catalog displays where variant titles might not be included. The poster child for this situation is Business Week which changed title </w:t>
      </w:r>
      <w:r>
        <w:t>to Bloomberg Business Week, a change deemed minor. Catalog records and short displays still list the title proper as Business Week, making our catalogs and cataloging look incorrect or out of date and perhaps causing a user or check-in staff to not recogni</w:t>
      </w:r>
      <w:r>
        <w:t xml:space="preserve">ze the correct record. </w:t>
      </w:r>
    </w:p>
    <w:p w14:paraId="00000074" w14:textId="77777777" w:rsidR="005A7A82" w:rsidRDefault="00EE61BD">
      <w:pPr>
        <w:spacing w:line="240" w:lineRule="auto"/>
      </w:pPr>
      <w:r>
        <w:t>The ISSN Review Group is considering opening an international discussion about adding new categories of minor title changes based on a survey where publishers and ISSN users indicated that they would prefer fewer title changes. If m</w:t>
      </w:r>
      <w:r>
        <w:t>ore minor changes are introduced, there will be even more cases where the titles proper in our catalog records get out of sync with the titles on our resources, with negative consequences for everyone.</w:t>
      </w:r>
    </w:p>
    <w:p w14:paraId="00000075" w14:textId="77777777" w:rsidR="005A7A82" w:rsidRDefault="005A7A82">
      <w:pPr>
        <w:spacing w:line="240" w:lineRule="auto"/>
        <w:ind w:left="720"/>
      </w:pPr>
    </w:p>
    <w:p w14:paraId="00000076" w14:textId="77777777" w:rsidR="005A7A82" w:rsidRDefault="005A7A82">
      <w:pPr>
        <w:spacing w:line="240" w:lineRule="auto"/>
        <w:ind w:left="720"/>
      </w:pPr>
    </w:p>
    <w:p w14:paraId="00000077" w14:textId="77777777" w:rsidR="005A7A82" w:rsidRDefault="005A7A82">
      <w:pPr>
        <w:spacing w:line="240" w:lineRule="auto"/>
        <w:ind w:left="720"/>
      </w:pPr>
    </w:p>
    <w:sectPr w:rsidR="005A7A82">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6AE5A7" w14:textId="77777777" w:rsidR="00000000" w:rsidRDefault="00EE61BD">
      <w:pPr>
        <w:spacing w:after="0" w:line="240" w:lineRule="auto"/>
      </w:pPr>
      <w:r>
        <w:separator/>
      </w:r>
    </w:p>
  </w:endnote>
  <w:endnote w:type="continuationSeparator" w:id="0">
    <w:p w14:paraId="0177EDB9" w14:textId="77777777" w:rsidR="00000000" w:rsidRDefault="00EE6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78" w14:textId="422FCE71" w:rsidR="005A7A82" w:rsidRDefault="00EE61BD">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sidR="000A77EE">
      <w:rPr>
        <w:color w:val="000000"/>
      </w:rPr>
      <w:fldChar w:fldCharType="separate"/>
    </w:r>
    <w:r>
      <w:rPr>
        <w:noProof/>
        <w:color w:val="000000"/>
      </w:rPr>
      <w:t>1</w:t>
    </w:r>
    <w:r>
      <w:rPr>
        <w:color w:val="000000"/>
      </w:rPr>
      <w:fldChar w:fldCharType="end"/>
    </w:r>
  </w:p>
  <w:p w14:paraId="00000079" w14:textId="77777777" w:rsidR="005A7A82" w:rsidRDefault="005A7A8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D8DEBC" w14:textId="77777777" w:rsidR="00000000" w:rsidRDefault="00EE61BD">
      <w:pPr>
        <w:spacing w:after="0" w:line="240" w:lineRule="auto"/>
      </w:pPr>
      <w:r>
        <w:separator/>
      </w:r>
    </w:p>
  </w:footnote>
  <w:footnote w:type="continuationSeparator" w:id="0">
    <w:p w14:paraId="1DCB854D" w14:textId="77777777" w:rsidR="00000000" w:rsidRDefault="00EE61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E7451"/>
    <w:multiLevelType w:val="multilevel"/>
    <w:tmpl w:val="282C83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1154247"/>
    <w:multiLevelType w:val="multilevel"/>
    <w:tmpl w:val="D174063E"/>
    <w:lvl w:ilvl="0">
      <w:start w:val="1"/>
      <w:numFmt w:val="decimal"/>
      <w:lvlText w:val="%1."/>
      <w:lvlJc w:val="right"/>
      <w:pPr>
        <w:ind w:left="720" w:hanging="540"/>
      </w:pPr>
      <w:rPr>
        <w:u w:val="none"/>
      </w:rPr>
    </w:lvl>
    <w:lvl w:ilvl="1">
      <w:start w:val="1"/>
      <w:numFmt w:val="decimal"/>
      <w:lvlText w:val="%1.%2."/>
      <w:lvlJc w:val="right"/>
      <w:pPr>
        <w:ind w:left="720" w:hanging="360"/>
      </w:pPr>
      <w:rPr>
        <w:rFonts w:ascii="Calibri" w:eastAsia="Calibri" w:hAnsi="Calibri" w:cs="Calibri"/>
        <w:b/>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 w15:restartNumberingAfterBreak="0">
    <w:nsid w:val="50534275"/>
    <w:multiLevelType w:val="multilevel"/>
    <w:tmpl w:val="89E6BE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5BB0640"/>
    <w:multiLevelType w:val="multilevel"/>
    <w:tmpl w:val="DDA6DD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E4D4E3A"/>
    <w:multiLevelType w:val="multilevel"/>
    <w:tmpl w:val="8AB6EF38"/>
    <w:lvl w:ilvl="0">
      <w:start w:val="1"/>
      <w:numFmt w:val="bullet"/>
      <w:lvlText w:val="●"/>
      <w:lvlJc w:val="left"/>
      <w:pPr>
        <w:ind w:left="2520" w:hanging="360"/>
      </w:pPr>
      <w:rPr>
        <w:rFonts w:ascii="Noto Sans Symbols" w:eastAsia="Noto Sans Symbols" w:hAnsi="Noto Sans Symbols" w:cs="Noto Sans Symbols"/>
      </w:r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5" w15:restartNumberingAfterBreak="0">
    <w:nsid w:val="7C42442D"/>
    <w:multiLevelType w:val="multilevel"/>
    <w:tmpl w:val="5BF402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5"/>
  </w:num>
  <w:num w:numId="3">
    <w:abstractNumId w:val="2"/>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A82"/>
    <w:rsid w:val="000A77EE"/>
    <w:rsid w:val="005A7A82"/>
    <w:rsid w:val="00EE61B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0F761"/>
  <w15:docId w15:val="{B98C3E6C-F2D1-47AD-8DF7-21F01C546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loc.gov/aba/pcc/documents/PoCo-2019/BetaRDA-PoCo-Decisions.pdf" TargetMode="External"/><Relationship Id="rId3" Type="http://schemas.openxmlformats.org/officeDocument/2006/relationships/settings" Target="settings.xml"/><Relationship Id="rId7" Type="http://schemas.openxmlformats.org/officeDocument/2006/relationships/hyperlink" Target="https://www.loc.gov/aba/pcc/taskgroup/Charge-Diachronic-Works-Beta-RDA-TG.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3338</Words>
  <Characters>19029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The Library of Congress</Company>
  <LinksUpToDate>false</LinksUpToDate>
  <CharactersWithSpaces>22323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Hawkins Les</dc:creator>
  <cp:lastModifiedBy>Hawkins Les</cp:lastModifiedBy>
  <cp:revision>3</cp:revision>
  <dcterms:created xsi:type="dcterms:W3CDTF">2020-01-24T18:37:00Z</dcterms:created>
  <dcterms:modified xsi:type="dcterms:W3CDTF">2020-01-24T18:52:00Z</dcterms:modified>
</cp:coreProperties>
</file>